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E5F9F" w:rsidRDefault="00950489" w:rsidP="00D4182D">
      <w:pPr>
        <w:keepNext/>
        <w:framePr w:w="9362" w:h="1810" w:hRule="exact" w:hSpace="141" w:wrap="auto" w:vAnchor="text" w:hAnchor="page" w:x="1956" w:y="-562"/>
        <w:jc w:val="center"/>
        <w:rPr>
          <w:color w:val="FF0000"/>
        </w:rPr>
      </w:pPr>
      <w:r w:rsidRPr="00CE5F9F">
        <w:rPr>
          <w:noProof/>
          <w:color w:val="FF0000"/>
        </w:rPr>
        <w:drawing>
          <wp:inline distT="0" distB="0" distL="0" distR="0" wp14:anchorId="6FE269EB" wp14:editId="5C0647AB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F26900" w:rsidRPr="00F26900" w:rsidTr="00D47372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F26900" w:rsidRDefault="00B26CE9" w:rsidP="00A9705C">
            <w:pPr>
              <w:keepNext/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F2690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F26900" w:rsidRDefault="00B26CE9" w:rsidP="00A9705C">
      <w:pPr>
        <w:keepNext/>
        <w:spacing w:line="40" w:lineRule="exact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24"/>
        <w:gridCol w:w="2552"/>
        <w:gridCol w:w="2480"/>
      </w:tblGrid>
      <w:tr w:rsidR="00F26900" w:rsidRPr="00F26900" w:rsidTr="00D47372">
        <w:trPr>
          <w:trHeight w:hRule="exact" w:val="60"/>
        </w:trPr>
        <w:tc>
          <w:tcPr>
            <w:tcW w:w="4324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</w:tr>
      <w:tr w:rsidR="0051046F" w:rsidRPr="00F26900" w:rsidTr="00BD0762">
        <w:tc>
          <w:tcPr>
            <w:tcW w:w="9356" w:type="dxa"/>
            <w:gridSpan w:val="3"/>
          </w:tcPr>
          <w:p w:rsidR="0051046F" w:rsidRPr="00F26900" w:rsidRDefault="0051046F" w:rsidP="00A9705C">
            <w:pPr>
              <w:keepNext/>
              <w:rPr>
                <w:sz w:val="24"/>
                <w:szCs w:val="24"/>
              </w:rPr>
            </w:pPr>
          </w:p>
        </w:tc>
      </w:tr>
    </w:tbl>
    <w:p w:rsidR="00B26CE9" w:rsidRPr="00F26900" w:rsidRDefault="00CE5F9F" w:rsidP="00A9705C">
      <w:pPr>
        <w:pStyle w:val="1"/>
        <w:rPr>
          <w:lang w:val="ru-RU"/>
        </w:rPr>
      </w:pPr>
      <w:r w:rsidRPr="00F26900">
        <w:rPr>
          <w:lang w:val="ru-RU"/>
        </w:rPr>
        <w:t>ПОСТАНОВЛЕНИЕ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</w:tbl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F26900" w:rsidTr="00D47372">
        <w:tc>
          <w:tcPr>
            <w:tcW w:w="4677" w:type="dxa"/>
          </w:tcPr>
          <w:p w:rsidR="00293AD5" w:rsidRPr="00F26900" w:rsidRDefault="000C0972" w:rsidP="00817C8B">
            <w:pPr>
              <w:keepNext/>
              <w:rPr>
                <w:sz w:val="24"/>
                <w:szCs w:val="24"/>
              </w:rPr>
            </w:pPr>
            <w:bookmarkStart w:id="0" w:name="REGDATESTAMP"/>
            <w:bookmarkEnd w:id="0"/>
            <w:r w:rsidRPr="00F26900">
              <w:rPr>
                <w:sz w:val="24"/>
                <w:szCs w:val="24"/>
              </w:rPr>
              <w:t>____  ____________ 20</w:t>
            </w:r>
            <w:r w:rsidR="00C119FE">
              <w:rPr>
                <w:sz w:val="24"/>
                <w:szCs w:val="24"/>
              </w:rPr>
              <w:t>2</w:t>
            </w:r>
            <w:r w:rsidR="00817C8B">
              <w:rPr>
                <w:sz w:val="24"/>
                <w:szCs w:val="24"/>
              </w:rPr>
              <w:t>5</w:t>
            </w:r>
            <w:r w:rsidRPr="00F269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F26900" w:rsidRDefault="00405696" w:rsidP="00A9705C">
            <w:pPr>
              <w:keepNext/>
              <w:ind w:left="-813"/>
              <w:jc w:val="center"/>
              <w:rPr>
                <w:sz w:val="24"/>
                <w:szCs w:val="24"/>
              </w:rPr>
            </w:pPr>
            <w:r w:rsidRPr="00F26900">
              <w:rPr>
                <w:sz w:val="24"/>
                <w:szCs w:val="24"/>
              </w:rPr>
              <w:t xml:space="preserve">                   </w:t>
            </w:r>
            <w:r w:rsidR="000C0972" w:rsidRPr="00F26900">
              <w:rPr>
                <w:sz w:val="24"/>
                <w:szCs w:val="24"/>
              </w:rPr>
              <w:t xml:space="preserve">                                      </w:t>
            </w:r>
            <w:r w:rsidR="00293AD5" w:rsidRPr="00F26900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F26900">
              <w:rPr>
                <w:sz w:val="24"/>
                <w:szCs w:val="24"/>
              </w:rPr>
              <w:t xml:space="preserve"> </w:t>
            </w:r>
            <w:r w:rsidR="000C0972" w:rsidRPr="00F26900">
              <w:rPr>
                <w:sz w:val="24"/>
                <w:szCs w:val="24"/>
              </w:rPr>
              <w:t>_________</w:t>
            </w:r>
          </w:p>
        </w:tc>
      </w:tr>
    </w:tbl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713E59" w:rsidRPr="00F26900" w:rsidTr="0051046F">
        <w:tc>
          <w:tcPr>
            <w:tcW w:w="9356" w:type="dxa"/>
          </w:tcPr>
          <w:p w:rsidR="00713E59" w:rsidRPr="00F26900" w:rsidRDefault="00713E59" w:rsidP="00905CC9">
            <w:pPr>
              <w:keepNext/>
              <w:rPr>
                <w:sz w:val="24"/>
                <w:szCs w:val="24"/>
              </w:rPr>
            </w:pPr>
          </w:p>
        </w:tc>
      </w:tr>
    </w:tbl>
    <w:p w:rsidR="00C119FE" w:rsidRPr="00C119FE" w:rsidRDefault="00C119FE" w:rsidP="00C119FE">
      <w:pPr>
        <w:pStyle w:val="ConsPlusTitle"/>
        <w:keepNext/>
        <w:widowControl w:val="0"/>
        <w:suppressAutoHyphens w:val="0"/>
        <w:jc w:val="center"/>
        <w:rPr>
          <w:b w:val="0"/>
        </w:rPr>
      </w:pPr>
      <w:r w:rsidRPr="00C119FE">
        <w:rPr>
          <w:b w:val="0"/>
          <w:bCs w:val="0"/>
        </w:rPr>
        <w:t>О внесении изменений в</w:t>
      </w:r>
      <w:r w:rsidRPr="00C119FE">
        <w:rPr>
          <w:b w:val="0"/>
        </w:rPr>
        <w:t xml:space="preserve"> муниципальную программу «Профилактика </w:t>
      </w:r>
    </w:p>
    <w:p w:rsidR="00A9705C" w:rsidRPr="00C119FE" w:rsidRDefault="00C119FE" w:rsidP="00C119FE">
      <w:pPr>
        <w:keepNext/>
        <w:widowControl w:val="0"/>
        <w:jc w:val="center"/>
        <w:rPr>
          <w:b/>
          <w:bCs/>
          <w:sz w:val="24"/>
          <w:szCs w:val="24"/>
        </w:rPr>
      </w:pPr>
      <w:r w:rsidRPr="00C119FE">
        <w:rPr>
          <w:sz w:val="24"/>
          <w:szCs w:val="24"/>
        </w:rPr>
        <w:t xml:space="preserve">правонарушений в городе Рязани», утвержденную постановлением </w:t>
      </w:r>
      <w:r w:rsidRPr="00C119FE">
        <w:rPr>
          <w:sz w:val="24"/>
          <w:szCs w:val="24"/>
        </w:rPr>
        <w:br/>
        <w:t xml:space="preserve">администрации города Рязани от </w:t>
      </w:r>
      <w:r>
        <w:rPr>
          <w:sz w:val="24"/>
          <w:szCs w:val="24"/>
        </w:rPr>
        <w:t>30</w:t>
      </w:r>
      <w:r w:rsidRPr="00C119FE">
        <w:rPr>
          <w:sz w:val="24"/>
          <w:szCs w:val="24"/>
        </w:rPr>
        <w:t>.09.20</w:t>
      </w:r>
      <w:r>
        <w:rPr>
          <w:sz w:val="24"/>
          <w:szCs w:val="24"/>
        </w:rPr>
        <w:t>2</w:t>
      </w:r>
      <w:r w:rsidRPr="00C119FE">
        <w:rPr>
          <w:sz w:val="24"/>
          <w:szCs w:val="24"/>
        </w:rPr>
        <w:t>1 № 4</w:t>
      </w:r>
      <w:r>
        <w:rPr>
          <w:sz w:val="24"/>
          <w:szCs w:val="24"/>
        </w:rPr>
        <w:t>243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F46B84" w:rsidRPr="00312639" w:rsidRDefault="00F46B84" w:rsidP="00F46B84">
      <w:pPr>
        <w:pStyle w:val="ConsPlusTitle"/>
        <w:keepNext/>
        <w:widowControl w:val="0"/>
        <w:suppressAutoHyphens w:val="0"/>
        <w:spacing w:line="312" w:lineRule="auto"/>
        <w:ind w:firstLine="709"/>
        <w:jc w:val="both"/>
        <w:rPr>
          <w:rStyle w:val="af9"/>
          <w:b w:val="0"/>
          <w:color w:val="auto"/>
          <w:u w:val="none"/>
        </w:rPr>
      </w:pPr>
      <w:r w:rsidRPr="00312639">
        <w:rPr>
          <w:b w:val="0"/>
        </w:rPr>
        <w:t xml:space="preserve">В </w:t>
      </w:r>
      <w:r w:rsidRPr="005D2F0E">
        <w:rPr>
          <w:b w:val="0"/>
        </w:rPr>
        <w:t>с</w:t>
      </w:r>
      <w:r>
        <w:rPr>
          <w:b w:val="0"/>
        </w:rPr>
        <w:t>оответствии</w:t>
      </w:r>
      <w:r w:rsidRPr="005D2F0E">
        <w:rPr>
          <w:b w:val="0"/>
        </w:rPr>
        <w:t xml:space="preserve"> с </w:t>
      </w:r>
      <w:r w:rsidRPr="00312639">
        <w:rPr>
          <w:b w:val="0"/>
        </w:rPr>
        <w:t xml:space="preserve">решением Рязанской городской Думы </w:t>
      </w:r>
      <w:r w:rsidR="004171C9" w:rsidRPr="004171C9">
        <w:rPr>
          <w:b w:val="0"/>
          <w:color w:val="000000"/>
        </w:rPr>
        <w:t xml:space="preserve">от </w:t>
      </w:r>
      <w:r w:rsidR="008179A7" w:rsidRPr="0022263E">
        <w:rPr>
          <w:b w:val="0"/>
        </w:rPr>
        <w:t>17</w:t>
      </w:r>
      <w:r w:rsidR="008179A7">
        <w:rPr>
          <w:b w:val="0"/>
        </w:rPr>
        <w:t>.04.2025</w:t>
      </w:r>
      <w:r w:rsidR="008179A7" w:rsidRPr="0022263E">
        <w:rPr>
          <w:b w:val="0"/>
        </w:rPr>
        <w:t xml:space="preserve"> </w:t>
      </w:r>
      <w:r w:rsidR="008179A7">
        <w:rPr>
          <w:b w:val="0"/>
        </w:rPr>
        <w:t>№</w:t>
      </w:r>
      <w:r w:rsidR="008179A7" w:rsidRPr="0022263E">
        <w:rPr>
          <w:b w:val="0"/>
        </w:rPr>
        <w:t xml:space="preserve"> 86-IV</w:t>
      </w:r>
      <w:r w:rsidR="008179A7">
        <w:rPr>
          <w:b w:val="0"/>
        </w:rPr>
        <w:t xml:space="preserve"> </w:t>
      </w:r>
      <w:r w:rsidR="008179A7">
        <w:rPr>
          <w:b w:val="0"/>
        </w:rPr>
        <w:br/>
        <w:t>«О</w:t>
      </w:r>
      <w:r w:rsidR="008179A7" w:rsidRPr="0022263E">
        <w:rPr>
          <w:b w:val="0"/>
        </w:rPr>
        <w:t xml:space="preserve"> внесении изменений и дополнений в бюджет города </w:t>
      </w:r>
      <w:r w:rsidR="008179A7">
        <w:rPr>
          <w:b w:val="0"/>
        </w:rPr>
        <w:t>Р</w:t>
      </w:r>
      <w:r w:rsidR="008179A7" w:rsidRPr="0022263E">
        <w:rPr>
          <w:b w:val="0"/>
        </w:rPr>
        <w:t>язани</w:t>
      </w:r>
      <w:r w:rsidR="008179A7">
        <w:rPr>
          <w:b w:val="0"/>
        </w:rPr>
        <w:t xml:space="preserve"> </w:t>
      </w:r>
      <w:r w:rsidR="008179A7" w:rsidRPr="0022263E">
        <w:rPr>
          <w:b w:val="0"/>
        </w:rPr>
        <w:t>на 2025 год и на плановый период 2026 и 2027 годов,</w:t>
      </w:r>
      <w:r w:rsidR="008179A7">
        <w:rPr>
          <w:b w:val="0"/>
        </w:rPr>
        <w:t xml:space="preserve"> </w:t>
      </w:r>
      <w:r w:rsidR="008179A7" w:rsidRPr="0022263E">
        <w:rPr>
          <w:b w:val="0"/>
        </w:rPr>
        <w:t xml:space="preserve">утвержденный решением рязанской городской думы </w:t>
      </w:r>
      <w:r w:rsidR="008179A7">
        <w:rPr>
          <w:b w:val="0"/>
        </w:rPr>
        <w:br/>
      </w:r>
      <w:r w:rsidR="008179A7" w:rsidRPr="0022263E">
        <w:rPr>
          <w:b w:val="0"/>
        </w:rPr>
        <w:t>от 12.12.2024</w:t>
      </w:r>
      <w:r w:rsidR="008179A7">
        <w:rPr>
          <w:b w:val="0"/>
        </w:rPr>
        <w:t xml:space="preserve"> №</w:t>
      </w:r>
      <w:r w:rsidR="008179A7" w:rsidRPr="0022263E">
        <w:rPr>
          <w:b w:val="0"/>
        </w:rPr>
        <w:t xml:space="preserve"> 324-IV</w:t>
      </w:r>
      <w:r w:rsidR="008179A7">
        <w:rPr>
          <w:b w:val="0"/>
        </w:rPr>
        <w:t xml:space="preserve">», </w:t>
      </w:r>
      <w:r w:rsidRPr="00312639">
        <w:rPr>
          <w:rStyle w:val="af9"/>
          <w:b w:val="0"/>
          <w:color w:val="auto"/>
          <w:u w:val="none"/>
        </w:rPr>
        <w:t>руководствуясь статьями 39, 41 Устава муниципального образования - городской округ город Рязань</w:t>
      </w:r>
      <w:r w:rsidRPr="00312639">
        <w:rPr>
          <w:b w:val="0"/>
        </w:rPr>
        <w:t xml:space="preserve">, </w:t>
      </w:r>
      <w:r w:rsidRPr="00312639">
        <w:rPr>
          <w:rStyle w:val="af9"/>
          <w:b w:val="0"/>
          <w:color w:val="auto"/>
          <w:u w:val="none"/>
        </w:rPr>
        <w:t xml:space="preserve">администрация города Рязани </w:t>
      </w:r>
      <w:r w:rsidR="008179A7">
        <w:rPr>
          <w:rStyle w:val="af9"/>
          <w:b w:val="0"/>
          <w:color w:val="auto"/>
          <w:u w:val="none"/>
        </w:rPr>
        <w:br/>
      </w:r>
      <w:proofErr w:type="gramStart"/>
      <w:r w:rsidRPr="00312639">
        <w:rPr>
          <w:rStyle w:val="af9"/>
          <w:color w:val="auto"/>
          <w:u w:val="none"/>
        </w:rPr>
        <w:t>п</w:t>
      </w:r>
      <w:proofErr w:type="gramEnd"/>
      <w:r w:rsidRPr="00312639">
        <w:rPr>
          <w:rStyle w:val="af9"/>
          <w:color w:val="auto"/>
          <w:u w:val="none"/>
        </w:rPr>
        <w:t xml:space="preserve"> о с т а н о в </w:t>
      </w:r>
      <w:proofErr w:type="gramStart"/>
      <w:r w:rsidRPr="00312639">
        <w:rPr>
          <w:rStyle w:val="af9"/>
          <w:color w:val="auto"/>
          <w:u w:val="none"/>
        </w:rPr>
        <w:t>л</w:t>
      </w:r>
      <w:proofErr w:type="gramEnd"/>
      <w:r w:rsidRPr="00312639">
        <w:rPr>
          <w:rStyle w:val="af9"/>
          <w:color w:val="auto"/>
          <w:u w:val="none"/>
        </w:rPr>
        <w:t xml:space="preserve"> я е т</w:t>
      </w:r>
      <w:r w:rsidRPr="00312639">
        <w:rPr>
          <w:rStyle w:val="af9"/>
          <w:b w:val="0"/>
          <w:color w:val="auto"/>
          <w:u w:val="none"/>
        </w:rPr>
        <w:t>:</w:t>
      </w:r>
    </w:p>
    <w:p w:rsidR="00F46B84" w:rsidRDefault="00F46B84" w:rsidP="00F46B84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263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312639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муниципальную программу </w:t>
      </w:r>
      <w:r w:rsidRPr="00312639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городе Рязани», утвержденную постановлением администрации города Рязани от 30.09.2021 </w:t>
      </w:r>
      <w:r w:rsidRPr="00312639">
        <w:rPr>
          <w:rFonts w:ascii="Times New Roman" w:hAnsi="Times New Roman" w:cs="Times New Roman"/>
          <w:sz w:val="24"/>
          <w:szCs w:val="24"/>
        </w:rPr>
        <w:br/>
        <w:t>№ 4243 «Об утвержден</w:t>
      </w:r>
      <w:bookmarkStart w:id="2" w:name="_GoBack"/>
      <w:bookmarkEnd w:id="2"/>
      <w:r w:rsidRPr="00312639">
        <w:rPr>
          <w:rFonts w:ascii="Times New Roman" w:hAnsi="Times New Roman" w:cs="Times New Roman"/>
          <w:sz w:val="24"/>
          <w:szCs w:val="24"/>
        </w:rPr>
        <w:t xml:space="preserve">ии муниципальной программы «Профилактика правонарушений </w:t>
      </w:r>
      <w:r w:rsidRPr="00312639">
        <w:rPr>
          <w:rFonts w:ascii="Times New Roman" w:hAnsi="Times New Roman" w:cs="Times New Roman"/>
          <w:sz w:val="24"/>
          <w:szCs w:val="24"/>
        </w:rPr>
        <w:br/>
        <w:t>в городе Рязани» (в редакции постановлений администрации города Рязани от 19.01.2022 № 103, от 02.06.2022 № 3649, от 23.12.2022 № 11436, от 29.12.2022 № 11869, от 28.02.2023 № 2270, от 09.06.2023 № 7834, от 07.09.2023 № 11816, от 27.12.2023 № 16683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от 02.02.2024 № 1088,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01.03.2024 № 2618, от 25.11.2024 № 13590, от 12.12.2024 </w:t>
      </w:r>
      <w:r>
        <w:rPr>
          <w:rFonts w:ascii="Times New Roman" w:hAnsi="Times New Roman" w:cs="Times New Roman"/>
          <w:sz w:val="24"/>
          <w:szCs w:val="24"/>
        </w:rPr>
        <w:br/>
        <w:t>№ 14289</w:t>
      </w:r>
      <w:r w:rsidR="006C67ED">
        <w:rPr>
          <w:rFonts w:ascii="Times New Roman" w:hAnsi="Times New Roman" w:cs="Times New Roman"/>
          <w:sz w:val="24"/>
          <w:szCs w:val="24"/>
        </w:rPr>
        <w:t>, от 28.12.2024 № 15549</w:t>
      </w:r>
      <w:r w:rsidR="008179A7">
        <w:rPr>
          <w:rFonts w:ascii="Times New Roman" w:hAnsi="Times New Roman" w:cs="Times New Roman"/>
          <w:sz w:val="24"/>
          <w:szCs w:val="24"/>
        </w:rPr>
        <w:t>, от 17.02.2025 № 1208</w:t>
      </w:r>
      <w:r w:rsidRPr="00312639">
        <w:rPr>
          <w:rFonts w:ascii="Times New Roman" w:hAnsi="Times New Roman" w:cs="Times New Roman"/>
          <w:sz w:val="24"/>
          <w:szCs w:val="24"/>
        </w:rPr>
        <w:t>), изменения согласно приложению к настоящему постановлению.</w:t>
      </w:r>
      <w:proofErr w:type="gramEnd"/>
    </w:p>
    <w:p w:rsidR="00C119FE" w:rsidRPr="00312639" w:rsidRDefault="008179A7" w:rsidP="00312639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. </w:t>
      </w:r>
      <w:r w:rsidR="003C789D" w:rsidRPr="00312639"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и социальных коммуникаций </w:t>
      </w:r>
      <w:r w:rsidR="00312639" w:rsidRPr="00312639">
        <w:rPr>
          <w:rFonts w:ascii="Times New Roman" w:hAnsi="Times New Roman" w:cs="Times New Roman"/>
          <w:sz w:val="24"/>
          <w:szCs w:val="24"/>
        </w:rPr>
        <w:t xml:space="preserve">аппарата администрации </w:t>
      </w:r>
      <w:r w:rsidR="00AB5F13" w:rsidRPr="00312639">
        <w:rPr>
          <w:rFonts w:ascii="Times New Roman" w:hAnsi="Times New Roman" w:cs="Times New Roman"/>
          <w:sz w:val="24"/>
          <w:szCs w:val="24"/>
        </w:rPr>
        <w:t xml:space="preserve">города Рязани </w:t>
      </w:r>
      <w:r w:rsidR="00C119FE" w:rsidRPr="00312639">
        <w:rPr>
          <w:rFonts w:ascii="Times New Roman" w:hAnsi="Times New Roman" w:cs="Times New Roman"/>
          <w:sz w:val="24"/>
          <w:szCs w:val="24"/>
        </w:rPr>
        <w:t>(</w:t>
      </w:r>
      <w:r w:rsidR="00575445" w:rsidRPr="00312639">
        <w:rPr>
          <w:rFonts w:ascii="Times New Roman" w:hAnsi="Times New Roman" w:cs="Times New Roman"/>
          <w:sz w:val="24"/>
          <w:szCs w:val="24"/>
        </w:rPr>
        <w:t>Жалыбина Т.В.</w:t>
      </w:r>
      <w:r w:rsidR="00C119FE" w:rsidRPr="00312639">
        <w:rPr>
          <w:rFonts w:ascii="Times New Roman" w:hAnsi="Times New Roman" w:cs="Times New Roman"/>
          <w:sz w:val="24"/>
          <w:szCs w:val="24"/>
        </w:rPr>
        <w:t>)</w:t>
      </w:r>
      <w:r w:rsidR="00C119FE" w:rsidRPr="0031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admrzn</w:t>
        </w:r>
        <w:proofErr w:type="spellEnd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119FE" w:rsidRPr="00312639">
        <w:rPr>
          <w:rFonts w:ascii="Times New Roman" w:hAnsi="Times New Roman" w:cs="Times New Roman"/>
          <w:sz w:val="24"/>
          <w:szCs w:val="24"/>
        </w:rPr>
        <w:t>.</w:t>
      </w:r>
    </w:p>
    <w:p w:rsidR="00C708CF" w:rsidRPr="00283845" w:rsidRDefault="008179A7" w:rsidP="00C708CF">
      <w:pPr>
        <w:keepNext/>
        <w:widowControl w:val="0"/>
        <w:tabs>
          <w:tab w:val="left" w:pos="7088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08CF" w:rsidRPr="00283845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администрации, руководителя аппарата Е.С. Власову.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17D8F" w:rsidRPr="00283845" w:rsidRDefault="006C67ED" w:rsidP="006C67E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7D8F" w:rsidRPr="00283845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A17D8F" w:rsidRPr="00283845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46" w:type="dxa"/>
            <w:tcBorders>
              <w:left w:val="nil"/>
            </w:tcBorders>
          </w:tcPr>
          <w:p w:rsidR="00A17D8F" w:rsidRPr="00283845" w:rsidRDefault="006C67ED" w:rsidP="00B5480B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 Артемов</w:t>
            </w:r>
          </w:p>
        </w:tc>
      </w:tr>
    </w:tbl>
    <w:p w:rsidR="00C5323C" w:rsidRPr="00283845" w:rsidRDefault="00C5323C" w:rsidP="00C5323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jc w:val="both"/>
        <w:rPr>
          <w:sz w:val="24"/>
          <w:szCs w:val="24"/>
        </w:rPr>
      </w:pP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  <w:t xml:space="preserve">                                                            </w:t>
      </w:r>
    </w:p>
    <w:p w:rsidR="00A9705C" w:rsidRPr="00283845" w:rsidRDefault="00A9705C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20277B" w:rsidRDefault="0020277B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1730DD" w:rsidRDefault="001730DD" w:rsidP="00CF7AB1">
      <w:pPr>
        <w:keepNext/>
        <w:widowControl w:val="0"/>
        <w:jc w:val="right"/>
        <w:rPr>
          <w:sz w:val="24"/>
          <w:szCs w:val="24"/>
        </w:rPr>
        <w:sectPr w:rsidR="001730DD" w:rsidSect="001C3A89">
          <w:headerReference w:type="default" r:id="rId12"/>
          <w:pgSz w:w="11907" w:h="16840" w:code="9"/>
          <w:pgMar w:top="851" w:right="567" w:bottom="567" w:left="1985" w:header="0" w:footer="567" w:gutter="0"/>
          <w:cols w:space="720"/>
          <w:titlePg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1590"/>
        <w:gridCol w:w="4253"/>
      </w:tblGrid>
      <w:tr w:rsidR="001730DD" w:rsidRPr="00FC79EE" w:rsidTr="00CF7AB1">
        <w:tc>
          <w:tcPr>
            <w:tcW w:w="11590" w:type="dxa"/>
            <w:shd w:val="clear" w:color="auto" w:fill="auto"/>
          </w:tcPr>
          <w:p w:rsidR="001730DD" w:rsidRPr="00FC79EE" w:rsidRDefault="001730DD" w:rsidP="00CF7AB1">
            <w:pPr>
              <w:keepNext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730DD" w:rsidRPr="00FC79EE" w:rsidRDefault="001730DD" w:rsidP="00CF7AB1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ПРИЛОЖЕНИЕ</w:t>
            </w:r>
          </w:p>
          <w:p w:rsidR="001730DD" w:rsidRPr="00FC79EE" w:rsidRDefault="001730DD" w:rsidP="00CF7AB1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к постановлению</w:t>
            </w:r>
          </w:p>
          <w:p w:rsidR="001730DD" w:rsidRPr="00FC79EE" w:rsidRDefault="001730DD" w:rsidP="00CF7AB1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администрации города Рязани</w:t>
            </w:r>
          </w:p>
          <w:p w:rsidR="001730DD" w:rsidRPr="00FC79EE" w:rsidRDefault="001730DD" w:rsidP="00CF7AB1">
            <w:pPr>
              <w:keepNext/>
              <w:widowControl w:val="0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от _________________ 202</w:t>
            </w:r>
            <w:r>
              <w:rPr>
                <w:sz w:val="24"/>
                <w:szCs w:val="24"/>
              </w:rPr>
              <w:t>5</w:t>
            </w:r>
            <w:r w:rsidRPr="00FC79EE">
              <w:rPr>
                <w:sz w:val="24"/>
                <w:szCs w:val="24"/>
              </w:rPr>
              <w:t xml:space="preserve"> г. № ____</w:t>
            </w:r>
          </w:p>
        </w:tc>
      </w:tr>
    </w:tbl>
    <w:p w:rsidR="001730DD" w:rsidRDefault="001730DD" w:rsidP="001730DD">
      <w:pPr>
        <w:keepNext/>
        <w:widowControl w:val="0"/>
        <w:ind w:firstLine="709"/>
        <w:jc w:val="both"/>
        <w:rPr>
          <w:color w:val="FF0000"/>
          <w:sz w:val="24"/>
          <w:szCs w:val="24"/>
        </w:rPr>
      </w:pPr>
    </w:p>
    <w:p w:rsidR="001730DD" w:rsidRPr="00A704C7" w:rsidRDefault="001730DD" w:rsidP="001730DD">
      <w:pPr>
        <w:keepNext/>
        <w:widowControl w:val="0"/>
        <w:ind w:firstLine="709"/>
        <w:jc w:val="both"/>
        <w:rPr>
          <w:color w:val="FF0000"/>
          <w:sz w:val="24"/>
          <w:szCs w:val="24"/>
        </w:rPr>
      </w:pPr>
    </w:p>
    <w:p w:rsidR="001730DD" w:rsidRDefault="001730DD" w:rsidP="001730DD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E1AAF">
        <w:rPr>
          <w:sz w:val="24"/>
          <w:szCs w:val="24"/>
        </w:rPr>
        <w:t xml:space="preserve">1. </w:t>
      </w:r>
      <w:r>
        <w:rPr>
          <w:sz w:val="24"/>
          <w:szCs w:val="24"/>
        </w:rPr>
        <w:t>В т</w:t>
      </w:r>
      <w:r>
        <w:rPr>
          <w:rFonts w:eastAsia="Calibri"/>
          <w:sz w:val="24"/>
          <w:szCs w:val="24"/>
        </w:rPr>
        <w:t>аблице 2 «</w:t>
      </w:r>
      <w:r w:rsidRPr="00867CF1">
        <w:rPr>
          <w:rFonts w:eastAsia="Calibri"/>
          <w:bCs/>
          <w:sz w:val="24"/>
          <w:szCs w:val="24"/>
        </w:rPr>
        <w:t>Сведения</w:t>
      </w:r>
      <w:r>
        <w:rPr>
          <w:rFonts w:eastAsia="Calibri"/>
          <w:bCs/>
          <w:sz w:val="24"/>
          <w:szCs w:val="24"/>
        </w:rPr>
        <w:t xml:space="preserve"> </w:t>
      </w:r>
      <w:r w:rsidRPr="00867CF1">
        <w:rPr>
          <w:rFonts w:eastAsia="Calibri"/>
          <w:bCs/>
          <w:sz w:val="24"/>
          <w:szCs w:val="24"/>
        </w:rPr>
        <w:t>о целевых показателях (индикаторах) Программы и их значениях</w:t>
      </w:r>
      <w:r>
        <w:rPr>
          <w:rFonts w:eastAsia="Calibri"/>
          <w:bCs/>
          <w:sz w:val="24"/>
          <w:szCs w:val="24"/>
        </w:rPr>
        <w:t xml:space="preserve">» </w:t>
      </w:r>
      <w:r w:rsidRPr="00FA4ECE">
        <w:rPr>
          <w:sz w:val="24"/>
          <w:szCs w:val="24"/>
        </w:rPr>
        <w:t>приложения к Программе</w:t>
      </w:r>
      <w:r>
        <w:rPr>
          <w:rFonts w:eastAsia="Calibri"/>
          <w:bCs/>
          <w:sz w:val="24"/>
          <w:szCs w:val="24"/>
        </w:rPr>
        <w:t>:</w:t>
      </w:r>
    </w:p>
    <w:p w:rsidR="001730DD" w:rsidRDefault="001730DD" w:rsidP="001730DD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1.1. В столбце 2 пункта 1.1 слово «</w:t>
      </w:r>
      <w:r>
        <w:rPr>
          <w:rFonts w:eastAsia="Calibri"/>
          <w:sz w:val="24"/>
          <w:szCs w:val="24"/>
        </w:rPr>
        <w:t>собственности» дополнить знаком «*».</w:t>
      </w:r>
    </w:p>
    <w:p w:rsidR="001730DD" w:rsidRDefault="001730DD" w:rsidP="001730DD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столбце 8 пункта 3.1. цифру «8» заменить цифрой «12».</w:t>
      </w:r>
    </w:p>
    <w:p w:rsidR="001730DD" w:rsidRPr="00867CF1" w:rsidRDefault="001730DD" w:rsidP="001730DD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1.3. В столбце 2 пунктов 3.2, 3.3 </w:t>
      </w:r>
      <w:r>
        <w:rPr>
          <w:rFonts w:eastAsia="Calibri"/>
          <w:bCs/>
          <w:sz w:val="24"/>
          <w:szCs w:val="24"/>
        </w:rPr>
        <w:t>символ «*» исключить.</w:t>
      </w:r>
    </w:p>
    <w:p w:rsidR="001730DD" w:rsidRDefault="001730DD" w:rsidP="001730DD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4E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Пункты 2.1, 2.1.4, 2.2.1, 2.2.2, 3.1, 3.1.1 т</w:t>
      </w:r>
      <w:r w:rsidRPr="00FA4ECE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A4ECE">
        <w:rPr>
          <w:rFonts w:ascii="Times New Roman" w:hAnsi="Times New Roman" w:cs="Times New Roman"/>
          <w:sz w:val="24"/>
          <w:szCs w:val="24"/>
        </w:rPr>
        <w:t xml:space="preserve"> 5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tbl>
      <w:tblPr>
        <w:tblStyle w:val="af7"/>
        <w:tblW w:w="156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2692"/>
        <w:gridCol w:w="766"/>
        <w:gridCol w:w="1928"/>
        <w:gridCol w:w="736"/>
        <w:gridCol w:w="789"/>
        <w:gridCol w:w="736"/>
        <w:gridCol w:w="823"/>
        <w:gridCol w:w="736"/>
        <w:gridCol w:w="823"/>
        <w:gridCol w:w="736"/>
        <w:gridCol w:w="736"/>
        <w:gridCol w:w="796"/>
        <w:gridCol w:w="886"/>
        <w:gridCol w:w="1983"/>
      </w:tblGrid>
      <w:tr w:rsidR="001730DD" w:rsidRPr="00165352" w:rsidTr="00CF7AB1">
        <w:trPr>
          <w:trHeight w:val="136"/>
        </w:trPr>
        <w:tc>
          <w:tcPr>
            <w:tcW w:w="455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2.1</w:t>
            </w:r>
          </w:p>
        </w:tc>
        <w:tc>
          <w:tcPr>
            <w:tcW w:w="2692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Основное мероприятие 2.1. Создание условий для формирования негативного отношения в обществе к немедицинскому потреблению наркотиков  </w:t>
            </w:r>
          </w:p>
        </w:tc>
        <w:tc>
          <w:tcPr>
            <w:tcW w:w="766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282,40000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64,80000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880,99904</w:t>
            </w:r>
          </w:p>
        </w:tc>
        <w:tc>
          <w:tcPr>
            <w:tcW w:w="1983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Доля </w:t>
            </w:r>
            <w:proofErr w:type="gramStart"/>
            <w:r w:rsidRPr="00AE54DC">
              <w:rPr>
                <w:sz w:val="16"/>
                <w:szCs w:val="16"/>
              </w:rPr>
              <w:t>учащихся образовательных организаций, принявших участие в социально-психологическом тестировании составит</w:t>
            </w:r>
            <w:proofErr w:type="gramEnd"/>
            <w:r w:rsidRPr="00AE54DC">
              <w:rPr>
                <w:sz w:val="16"/>
                <w:szCs w:val="16"/>
              </w:rPr>
              <w:t xml:space="preserve"> не менее 85%</w:t>
            </w:r>
          </w:p>
        </w:tc>
      </w:tr>
      <w:tr w:rsidR="001730DD" w:rsidRPr="00165352" w:rsidTr="00CF7AB1">
        <w:trPr>
          <w:trHeight w:val="82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6,50000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9,20000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98,10000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102,40000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10,40000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270,20000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594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Администрация города Рязани, МКУ «УДТ»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>(до 31.12.2023), Префектуры (с 01.01.2024)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180,00000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54,40000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610,79904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185"/>
        </w:trPr>
        <w:tc>
          <w:tcPr>
            <w:tcW w:w="455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2.1.4</w:t>
            </w:r>
          </w:p>
        </w:tc>
        <w:tc>
          <w:tcPr>
            <w:tcW w:w="2692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Мероприятие 2.1.4. Проведение мероприятий по 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766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282,40000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64,80000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880,99904</w:t>
            </w:r>
          </w:p>
        </w:tc>
        <w:tc>
          <w:tcPr>
            <w:tcW w:w="1983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132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6,50000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9,20000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98,10000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102,40000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10,40000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10,90000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10,90000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10,90000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10,90000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270,20000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517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Администрация города Рязани, МКУ «УДТ»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 xml:space="preserve">(до 31.12.2023), Префектуры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>(с 01.01.2024), из них: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180,00000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54,40000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610,79904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375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МКУ «УДТ» (до 31.12.2023)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50,00000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50,00000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E5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E5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E5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E5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E5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569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Территориальное управление - префектура Железнодорожного района (с 01.01.2024)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12,49976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45,00000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13,60000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570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Территориальное управление - префектура Московского района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>(с 01.01.2024)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12,49976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45,00000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13,60000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666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Территориальное управление - префектура Октябрьского района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>(с  01.01.2024)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12,49976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45,00000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13,60000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761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Территориальное управление - префектура Советского района </w:t>
            </w:r>
            <w:r>
              <w:rPr>
                <w:sz w:val="16"/>
                <w:szCs w:val="16"/>
              </w:rPr>
              <w:br/>
            </w:r>
            <w:r w:rsidRPr="00AE54DC">
              <w:rPr>
                <w:sz w:val="16"/>
                <w:szCs w:val="16"/>
              </w:rPr>
              <w:t>(с 01.01.2024)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12,49976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45,00000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13,60000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14,15000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133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155,60000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212,70000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222,20000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232,20000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241,50000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2068,60000</w:t>
            </w:r>
          </w:p>
        </w:tc>
        <w:tc>
          <w:tcPr>
            <w:tcW w:w="1983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182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УК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113,00000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139,30000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145,60000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152,20000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158,30000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1366,80000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115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УФКиМС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12,90000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182,60000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190,90000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199,50000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207,50000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1656,60000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489"/>
        </w:trPr>
        <w:tc>
          <w:tcPr>
            <w:tcW w:w="455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692" w:type="dxa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Мероприятие 2.2.1. Обучение волонтеров формам и методам антинаркотической работы</w:t>
            </w:r>
          </w:p>
        </w:tc>
        <w:tc>
          <w:tcPr>
            <w:tcW w:w="76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28,20000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34,10000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35,60000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96,50000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38,60000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40,10000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40,10000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40,10000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40,10000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393,40000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555"/>
        </w:trPr>
        <w:tc>
          <w:tcPr>
            <w:tcW w:w="455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2.2.2</w:t>
            </w:r>
          </w:p>
        </w:tc>
        <w:tc>
          <w:tcPr>
            <w:tcW w:w="2692" w:type="dxa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Мероприятие 2.2.2. Ведение молодежного профилактического интернет-блога «Лабиринт»</w:t>
            </w:r>
          </w:p>
        </w:tc>
        <w:tc>
          <w:tcPr>
            <w:tcW w:w="76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34,60000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54,30000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56,70000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61,70000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64,20000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64,20000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64,20000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64,20000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464,10000</w:t>
            </w:r>
          </w:p>
        </w:tc>
        <w:tc>
          <w:tcPr>
            <w:tcW w:w="1983" w:type="dxa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56"/>
        </w:trPr>
        <w:tc>
          <w:tcPr>
            <w:tcW w:w="455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3.1</w:t>
            </w:r>
          </w:p>
        </w:tc>
        <w:tc>
          <w:tcPr>
            <w:tcW w:w="2692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Основное мероприятие 3.1. Проведение профилактической работы с несовершеннолетними</w:t>
            </w:r>
          </w:p>
        </w:tc>
        <w:tc>
          <w:tcPr>
            <w:tcW w:w="766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154,70000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73,20000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172,30000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1246,80000</w:t>
            </w:r>
          </w:p>
        </w:tc>
        <w:tc>
          <w:tcPr>
            <w:tcW w:w="1983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составит не более 5%</w:t>
            </w:r>
          </w:p>
        </w:tc>
      </w:tr>
      <w:tr w:rsidR="001730DD" w:rsidRPr="00165352" w:rsidTr="00CF7AB1">
        <w:trPr>
          <w:trHeight w:val="645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Администрация города Рязани, АКДНиЗП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73,20000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76,10000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605,70000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56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84,70000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96,20000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641,10000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699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E54DC">
              <w:rPr>
                <w:sz w:val="16"/>
                <w:szCs w:val="16"/>
              </w:rPr>
              <w:t>финан</w:t>
            </w:r>
            <w:r w:rsidRPr="00165352"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сирования</w:t>
            </w:r>
            <w:proofErr w:type="spellEnd"/>
            <w:proofErr w:type="gramEnd"/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ЛОВДТ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1730DD" w:rsidRPr="00165352" w:rsidTr="00CF7AB1">
        <w:trPr>
          <w:trHeight w:val="660"/>
        </w:trPr>
        <w:tc>
          <w:tcPr>
            <w:tcW w:w="455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3.1.1</w:t>
            </w:r>
          </w:p>
        </w:tc>
        <w:tc>
          <w:tcPr>
            <w:tcW w:w="2692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Мероприятие 3.1.1.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</w:t>
            </w:r>
          </w:p>
        </w:tc>
        <w:tc>
          <w:tcPr>
            <w:tcW w:w="76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УОиМП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60,20000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84,70000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96,20000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100,00000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100,00000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100,00000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E54DC">
              <w:rPr>
                <w:bCs/>
                <w:sz w:val="16"/>
                <w:szCs w:val="16"/>
              </w:rPr>
              <w:t>641,10000</w:t>
            </w:r>
          </w:p>
        </w:tc>
        <w:tc>
          <w:tcPr>
            <w:tcW w:w="1983" w:type="dxa"/>
            <w:vMerge w:val="restart"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 </w:t>
            </w:r>
          </w:p>
        </w:tc>
      </w:tr>
      <w:tr w:rsidR="001730DD" w:rsidRPr="00165352" w:rsidTr="00CF7AB1">
        <w:trPr>
          <w:trHeight w:val="1020"/>
        </w:trPr>
        <w:tc>
          <w:tcPr>
            <w:tcW w:w="455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2692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76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E54DC">
              <w:rPr>
                <w:sz w:val="16"/>
                <w:szCs w:val="16"/>
              </w:rPr>
              <w:t>финан</w:t>
            </w:r>
            <w:r w:rsidRPr="00165352">
              <w:rPr>
                <w:sz w:val="16"/>
                <w:szCs w:val="16"/>
              </w:rPr>
              <w:t>-</w:t>
            </w:r>
            <w:r w:rsidRPr="00AE54DC">
              <w:rPr>
                <w:sz w:val="16"/>
                <w:szCs w:val="16"/>
              </w:rPr>
              <w:t>сирования</w:t>
            </w:r>
            <w:proofErr w:type="spellEnd"/>
            <w:proofErr w:type="gramEnd"/>
          </w:p>
        </w:tc>
        <w:tc>
          <w:tcPr>
            <w:tcW w:w="1928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АКДНиЗП, ЛОВДТ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79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886" w:type="dxa"/>
            <w:hideMark/>
          </w:tcPr>
          <w:p w:rsidR="001730DD" w:rsidRPr="00AE54DC" w:rsidRDefault="001730DD" w:rsidP="00CF7AB1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E54DC">
              <w:rPr>
                <w:sz w:val="16"/>
                <w:szCs w:val="16"/>
              </w:rPr>
              <w:t>-</w:t>
            </w:r>
          </w:p>
        </w:tc>
        <w:tc>
          <w:tcPr>
            <w:tcW w:w="1983" w:type="dxa"/>
            <w:vMerge/>
            <w:hideMark/>
          </w:tcPr>
          <w:p w:rsidR="001730DD" w:rsidRPr="00AE54DC" w:rsidRDefault="001730DD" w:rsidP="00CF7AB1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</w:tbl>
    <w:p w:rsidR="001730DD" w:rsidRDefault="001730DD" w:rsidP="001730DD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30DD" w:rsidRDefault="001730DD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1730DD" w:rsidRDefault="001730DD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1730DD" w:rsidRDefault="001730DD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1730DD" w:rsidRDefault="001730DD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sectPr w:rsidR="001730DD" w:rsidSect="001730DD">
      <w:pgSz w:w="16840" w:h="11907" w:orient="landscape" w:code="9"/>
      <w:pgMar w:top="1134" w:right="567" w:bottom="567" w:left="567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05" w:rsidRDefault="00653F05">
      <w:r>
        <w:separator/>
      </w:r>
    </w:p>
  </w:endnote>
  <w:endnote w:type="continuationSeparator" w:id="0">
    <w:p w:rsidR="00653F05" w:rsidRDefault="006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05" w:rsidRDefault="00653F05">
      <w:r>
        <w:separator/>
      </w:r>
    </w:p>
  </w:footnote>
  <w:footnote w:type="continuationSeparator" w:id="0">
    <w:p w:rsidR="00653F05" w:rsidRDefault="0065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38065"/>
      <w:docPartObj>
        <w:docPartGallery w:val="Page Numbers (Top of Page)"/>
        <w:docPartUnique/>
      </w:docPartObj>
    </w:sdtPr>
    <w:sdtEndPr/>
    <w:sdtContent>
      <w:p w:rsidR="00F26900" w:rsidRDefault="00F26900">
        <w:pPr>
          <w:pStyle w:val="a3"/>
          <w:jc w:val="center"/>
        </w:pPr>
      </w:p>
      <w:p w:rsidR="00F26900" w:rsidRDefault="00653F05">
        <w:pPr>
          <w:pStyle w:val="a3"/>
          <w:jc w:val="center"/>
        </w:pPr>
      </w:p>
    </w:sdtContent>
  </w:sdt>
  <w:p w:rsidR="00F26900" w:rsidRDefault="00F26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BFD283B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40E3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A6332D0"/>
    <w:multiLevelType w:val="hybridMultilevel"/>
    <w:tmpl w:val="22CA1D0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E"/>
    <w:rsid w:val="0000232E"/>
    <w:rsid w:val="00011C61"/>
    <w:rsid w:val="000138D4"/>
    <w:rsid w:val="000138F4"/>
    <w:rsid w:val="00022AEF"/>
    <w:rsid w:val="00023778"/>
    <w:rsid w:val="00031D05"/>
    <w:rsid w:val="0003371B"/>
    <w:rsid w:val="000408B7"/>
    <w:rsid w:val="00051FEC"/>
    <w:rsid w:val="000523BD"/>
    <w:rsid w:val="00064414"/>
    <w:rsid w:val="0007564D"/>
    <w:rsid w:val="00084FC2"/>
    <w:rsid w:val="00091B90"/>
    <w:rsid w:val="0009353F"/>
    <w:rsid w:val="00094A51"/>
    <w:rsid w:val="00095BC4"/>
    <w:rsid w:val="000A2448"/>
    <w:rsid w:val="000A3B46"/>
    <w:rsid w:val="000C0972"/>
    <w:rsid w:val="000C5B2C"/>
    <w:rsid w:val="000C65A5"/>
    <w:rsid w:val="000D018F"/>
    <w:rsid w:val="000D5CE3"/>
    <w:rsid w:val="000D6C29"/>
    <w:rsid w:val="000E2568"/>
    <w:rsid w:val="000E435A"/>
    <w:rsid w:val="000E4CBF"/>
    <w:rsid w:val="000E665E"/>
    <w:rsid w:val="000F077F"/>
    <w:rsid w:val="000F20D9"/>
    <w:rsid w:val="000F378A"/>
    <w:rsid w:val="000F62C3"/>
    <w:rsid w:val="000F688B"/>
    <w:rsid w:val="000F71FA"/>
    <w:rsid w:val="001003BF"/>
    <w:rsid w:val="001018A6"/>
    <w:rsid w:val="001031A6"/>
    <w:rsid w:val="00123769"/>
    <w:rsid w:val="00126084"/>
    <w:rsid w:val="00130FD0"/>
    <w:rsid w:val="00144CAD"/>
    <w:rsid w:val="0015590B"/>
    <w:rsid w:val="001600A8"/>
    <w:rsid w:val="001660B6"/>
    <w:rsid w:val="00167552"/>
    <w:rsid w:val="00170FC4"/>
    <w:rsid w:val="001730DD"/>
    <w:rsid w:val="001749BE"/>
    <w:rsid w:val="001847F6"/>
    <w:rsid w:val="00191102"/>
    <w:rsid w:val="00192C4F"/>
    <w:rsid w:val="001A362C"/>
    <w:rsid w:val="001A7500"/>
    <w:rsid w:val="001B0132"/>
    <w:rsid w:val="001B04A0"/>
    <w:rsid w:val="001B5305"/>
    <w:rsid w:val="001C3A89"/>
    <w:rsid w:val="001C4B6E"/>
    <w:rsid w:val="001C5154"/>
    <w:rsid w:val="001D6F2B"/>
    <w:rsid w:val="001D7C7A"/>
    <w:rsid w:val="001E10B1"/>
    <w:rsid w:val="001E608D"/>
    <w:rsid w:val="001E6733"/>
    <w:rsid w:val="00201BAE"/>
    <w:rsid w:val="00201EA6"/>
    <w:rsid w:val="0020277B"/>
    <w:rsid w:val="0020469F"/>
    <w:rsid w:val="00210A5F"/>
    <w:rsid w:val="0021162A"/>
    <w:rsid w:val="00212647"/>
    <w:rsid w:val="00215000"/>
    <w:rsid w:val="00215426"/>
    <w:rsid w:val="00224DE1"/>
    <w:rsid w:val="0022636D"/>
    <w:rsid w:val="00226EAB"/>
    <w:rsid w:val="00230558"/>
    <w:rsid w:val="0023080F"/>
    <w:rsid w:val="00231C9F"/>
    <w:rsid w:val="00232D4A"/>
    <w:rsid w:val="00245673"/>
    <w:rsid w:val="0026273F"/>
    <w:rsid w:val="0026378D"/>
    <w:rsid w:val="00271FCD"/>
    <w:rsid w:val="002722A6"/>
    <w:rsid w:val="00277827"/>
    <w:rsid w:val="00283845"/>
    <w:rsid w:val="00290AEC"/>
    <w:rsid w:val="002917F1"/>
    <w:rsid w:val="00293AD5"/>
    <w:rsid w:val="002B2550"/>
    <w:rsid w:val="002B4478"/>
    <w:rsid w:val="002D3C26"/>
    <w:rsid w:val="002D4F7F"/>
    <w:rsid w:val="002D5857"/>
    <w:rsid w:val="002D5CB7"/>
    <w:rsid w:val="002E317D"/>
    <w:rsid w:val="002E3353"/>
    <w:rsid w:val="002F06EC"/>
    <w:rsid w:val="002F0F72"/>
    <w:rsid w:val="00311E65"/>
    <w:rsid w:val="00312639"/>
    <w:rsid w:val="00312F52"/>
    <w:rsid w:val="003176BA"/>
    <w:rsid w:val="00326A0F"/>
    <w:rsid w:val="003306D1"/>
    <w:rsid w:val="00336740"/>
    <w:rsid w:val="00340997"/>
    <w:rsid w:val="00346720"/>
    <w:rsid w:val="00346EAE"/>
    <w:rsid w:val="00347C2F"/>
    <w:rsid w:val="00350315"/>
    <w:rsid w:val="00366948"/>
    <w:rsid w:val="0037075D"/>
    <w:rsid w:val="00376A95"/>
    <w:rsid w:val="00377162"/>
    <w:rsid w:val="003802ED"/>
    <w:rsid w:val="0039110F"/>
    <w:rsid w:val="00397E60"/>
    <w:rsid w:val="003A6D6C"/>
    <w:rsid w:val="003B0818"/>
    <w:rsid w:val="003B3EE4"/>
    <w:rsid w:val="003C0EDF"/>
    <w:rsid w:val="003C44D6"/>
    <w:rsid w:val="003C4700"/>
    <w:rsid w:val="003C534F"/>
    <w:rsid w:val="003C5405"/>
    <w:rsid w:val="003C789D"/>
    <w:rsid w:val="003D4376"/>
    <w:rsid w:val="003D7AEF"/>
    <w:rsid w:val="003E5341"/>
    <w:rsid w:val="003E53EC"/>
    <w:rsid w:val="003E5DF5"/>
    <w:rsid w:val="003F175D"/>
    <w:rsid w:val="003F29F7"/>
    <w:rsid w:val="003F4AEF"/>
    <w:rsid w:val="003F5386"/>
    <w:rsid w:val="00403AC5"/>
    <w:rsid w:val="00404B91"/>
    <w:rsid w:val="00405696"/>
    <w:rsid w:val="004056EA"/>
    <w:rsid w:val="00413AD4"/>
    <w:rsid w:val="00413B7C"/>
    <w:rsid w:val="00413CF9"/>
    <w:rsid w:val="00415975"/>
    <w:rsid w:val="004171C9"/>
    <w:rsid w:val="00422D19"/>
    <w:rsid w:val="0042400E"/>
    <w:rsid w:val="00424D47"/>
    <w:rsid w:val="00424E16"/>
    <w:rsid w:val="00430157"/>
    <w:rsid w:val="004345F1"/>
    <w:rsid w:val="0045578B"/>
    <w:rsid w:val="00460FD9"/>
    <w:rsid w:val="00465B28"/>
    <w:rsid w:val="00465C6C"/>
    <w:rsid w:val="00466AA8"/>
    <w:rsid w:val="00471545"/>
    <w:rsid w:val="0047475B"/>
    <w:rsid w:val="00480857"/>
    <w:rsid w:val="004864D4"/>
    <w:rsid w:val="00493754"/>
    <w:rsid w:val="0049520C"/>
    <w:rsid w:val="00496E70"/>
    <w:rsid w:val="004B5DA9"/>
    <w:rsid w:val="004B755E"/>
    <w:rsid w:val="004B7980"/>
    <w:rsid w:val="004C0C65"/>
    <w:rsid w:val="004C3D66"/>
    <w:rsid w:val="004C6048"/>
    <w:rsid w:val="004D61FC"/>
    <w:rsid w:val="004E50C9"/>
    <w:rsid w:val="004E74BA"/>
    <w:rsid w:val="004F069A"/>
    <w:rsid w:val="004F44B6"/>
    <w:rsid w:val="004F6D53"/>
    <w:rsid w:val="004F7083"/>
    <w:rsid w:val="0050275B"/>
    <w:rsid w:val="005069D6"/>
    <w:rsid w:val="0051046F"/>
    <w:rsid w:val="00524432"/>
    <w:rsid w:val="00524FD7"/>
    <w:rsid w:val="00540212"/>
    <w:rsid w:val="005446B3"/>
    <w:rsid w:val="005647F5"/>
    <w:rsid w:val="00566553"/>
    <w:rsid w:val="0057135D"/>
    <w:rsid w:val="00574772"/>
    <w:rsid w:val="00575445"/>
    <w:rsid w:val="00580325"/>
    <w:rsid w:val="00580BCE"/>
    <w:rsid w:val="00581E7F"/>
    <w:rsid w:val="005948B9"/>
    <w:rsid w:val="00596D5F"/>
    <w:rsid w:val="005A0869"/>
    <w:rsid w:val="005A310D"/>
    <w:rsid w:val="005A6762"/>
    <w:rsid w:val="005B2F9C"/>
    <w:rsid w:val="005B7536"/>
    <w:rsid w:val="005C1B98"/>
    <w:rsid w:val="005C21B5"/>
    <w:rsid w:val="005C3C0C"/>
    <w:rsid w:val="005C7305"/>
    <w:rsid w:val="005D2F0E"/>
    <w:rsid w:val="005D63FE"/>
    <w:rsid w:val="005E2840"/>
    <w:rsid w:val="006024E5"/>
    <w:rsid w:val="00605D2F"/>
    <w:rsid w:val="0060766A"/>
    <w:rsid w:val="00613292"/>
    <w:rsid w:val="00615724"/>
    <w:rsid w:val="00633C56"/>
    <w:rsid w:val="00635CBF"/>
    <w:rsid w:val="00642DF8"/>
    <w:rsid w:val="006442FA"/>
    <w:rsid w:val="006506EA"/>
    <w:rsid w:val="00652E52"/>
    <w:rsid w:val="00653F05"/>
    <w:rsid w:val="00657C13"/>
    <w:rsid w:val="00661722"/>
    <w:rsid w:val="0066200D"/>
    <w:rsid w:val="00664B55"/>
    <w:rsid w:val="00665949"/>
    <w:rsid w:val="006660AA"/>
    <w:rsid w:val="00670245"/>
    <w:rsid w:val="00675009"/>
    <w:rsid w:val="00675DA2"/>
    <w:rsid w:val="00676145"/>
    <w:rsid w:val="0068105A"/>
    <w:rsid w:val="0068125B"/>
    <w:rsid w:val="00692AAD"/>
    <w:rsid w:val="006941ED"/>
    <w:rsid w:val="00697CE7"/>
    <w:rsid w:val="006A01E6"/>
    <w:rsid w:val="006A3E4D"/>
    <w:rsid w:val="006A6892"/>
    <w:rsid w:val="006B77BE"/>
    <w:rsid w:val="006C0FB6"/>
    <w:rsid w:val="006C3EAA"/>
    <w:rsid w:val="006C5DEA"/>
    <w:rsid w:val="006C67ED"/>
    <w:rsid w:val="006C7290"/>
    <w:rsid w:val="006D056C"/>
    <w:rsid w:val="006E2472"/>
    <w:rsid w:val="006F0B41"/>
    <w:rsid w:val="006F0E72"/>
    <w:rsid w:val="006F1E01"/>
    <w:rsid w:val="006F448C"/>
    <w:rsid w:val="006F7C6A"/>
    <w:rsid w:val="0070448C"/>
    <w:rsid w:val="007068CA"/>
    <w:rsid w:val="00710F77"/>
    <w:rsid w:val="00713E59"/>
    <w:rsid w:val="00717D8C"/>
    <w:rsid w:val="0072099C"/>
    <w:rsid w:val="007211A9"/>
    <w:rsid w:val="007225FF"/>
    <w:rsid w:val="0074602A"/>
    <w:rsid w:val="007548A9"/>
    <w:rsid w:val="007561EE"/>
    <w:rsid w:val="00761F60"/>
    <w:rsid w:val="00766D93"/>
    <w:rsid w:val="0077165A"/>
    <w:rsid w:val="0077266E"/>
    <w:rsid w:val="00773296"/>
    <w:rsid w:val="00774DB9"/>
    <w:rsid w:val="00777332"/>
    <w:rsid w:val="00781213"/>
    <w:rsid w:val="00783FDB"/>
    <w:rsid w:val="00787817"/>
    <w:rsid w:val="00793E5A"/>
    <w:rsid w:val="007A1F3D"/>
    <w:rsid w:val="007B1DAF"/>
    <w:rsid w:val="007C01DC"/>
    <w:rsid w:val="007C21E4"/>
    <w:rsid w:val="007C22D2"/>
    <w:rsid w:val="007C4CFE"/>
    <w:rsid w:val="007C595B"/>
    <w:rsid w:val="007C660E"/>
    <w:rsid w:val="007D0F2A"/>
    <w:rsid w:val="007D1D40"/>
    <w:rsid w:val="007D36E9"/>
    <w:rsid w:val="007E0142"/>
    <w:rsid w:val="007E1367"/>
    <w:rsid w:val="007F00F2"/>
    <w:rsid w:val="007F7A40"/>
    <w:rsid w:val="00800D5D"/>
    <w:rsid w:val="00803061"/>
    <w:rsid w:val="008157E2"/>
    <w:rsid w:val="00816982"/>
    <w:rsid w:val="008179A7"/>
    <w:rsid w:val="00817C8B"/>
    <w:rsid w:val="0083153B"/>
    <w:rsid w:val="00835F97"/>
    <w:rsid w:val="008433F2"/>
    <w:rsid w:val="00843666"/>
    <w:rsid w:val="00850B90"/>
    <w:rsid w:val="00852D6B"/>
    <w:rsid w:val="00853CF4"/>
    <w:rsid w:val="00857DAA"/>
    <w:rsid w:val="00862A6B"/>
    <w:rsid w:val="00863BC2"/>
    <w:rsid w:val="00876129"/>
    <w:rsid w:val="00882765"/>
    <w:rsid w:val="00887DDE"/>
    <w:rsid w:val="0089051C"/>
    <w:rsid w:val="008914AA"/>
    <w:rsid w:val="008A3E4E"/>
    <w:rsid w:val="008B3B21"/>
    <w:rsid w:val="008C30A0"/>
    <w:rsid w:val="008C3D1E"/>
    <w:rsid w:val="008C5415"/>
    <w:rsid w:val="008D53BE"/>
    <w:rsid w:val="008D6216"/>
    <w:rsid w:val="008E0992"/>
    <w:rsid w:val="008F223C"/>
    <w:rsid w:val="008F4B94"/>
    <w:rsid w:val="00901B77"/>
    <w:rsid w:val="00905526"/>
    <w:rsid w:val="009064F6"/>
    <w:rsid w:val="009138FB"/>
    <w:rsid w:val="009251C3"/>
    <w:rsid w:val="00950489"/>
    <w:rsid w:val="00965C76"/>
    <w:rsid w:val="00970421"/>
    <w:rsid w:val="00975E2F"/>
    <w:rsid w:val="009839BD"/>
    <w:rsid w:val="00984C92"/>
    <w:rsid w:val="00986745"/>
    <w:rsid w:val="009904BB"/>
    <w:rsid w:val="00990ADB"/>
    <w:rsid w:val="009A3C19"/>
    <w:rsid w:val="009A6EC9"/>
    <w:rsid w:val="009B0FF2"/>
    <w:rsid w:val="009B1180"/>
    <w:rsid w:val="009C1821"/>
    <w:rsid w:val="009C21EF"/>
    <w:rsid w:val="009C2C58"/>
    <w:rsid w:val="009C6A07"/>
    <w:rsid w:val="009D0DC1"/>
    <w:rsid w:val="009D1C58"/>
    <w:rsid w:val="009D5D43"/>
    <w:rsid w:val="009D723D"/>
    <w:rsid w:val="009E49B3"/>
    <w:rsid w:val="009E7BF7"/>
    <w:rsid w:val="009F019D"/>
    <w:rsid w:val="009F233A"/>
    <w:rsid w:val="009F485C"/>
    <w:rsid w:val="009F4F10"/>
    <w:rsid w:val="009F73C5"/>
    <w:rsid w:val="00A17D8F"/>
    <w:rsid w:val="00A264CD"/>
    <w:rsid w:val="00A376AC"/>
    <w:rsid w:val="00A41D47"/>
    <w:rsid w:val="00A9622B"/>
    <w:rsid w:val="00A96B79"/>
    <w:rsid w:val="00A96F75"/>
    <w:rsid w:val="00A9705C"/>
    <w:rsid w:val="00AB088F"/>
    <w:rsid w:val="00AB1DC9"/>
    <w:rsid w:val="00AB2605"/>
    <w:rsid w:val="00AB3AF9"/>
    <w:rsid w:val="00AB474A"/>
    <w:rsid w:val="00AB5F13"/>
    <w:rsid w:val="00AC0888"/>
    <w:rsid w:val="00AC6F9A"/>
    <w:rsid w:val="00AD01AE"/>
    <w:rsid w:val="00AE1FAC"/>
    <w:rsid w:val="00AE3B60"/>
    <w:rsid w:val="00AE5344"/>
    <w:rsid w:val="00AE59CD"/>
    <w:rsid w:val="00AF0EC7"/>
    <w:rsid w:val="00AF37E9"/>
    <w:rsid w:val="00AF6909"/>
    <w:rsid w:val="00B007F1"/>
    <w:rsid w:val="00B02026"/>
    <w:rsid w:val="00B02AC7"/>
    <w:rsid w:val="00B03D5A"/>
    <w:rsid w:val="00B073C4"/>
    <w:rsid w:val="00B13E39"/>
    <w:rsid w:val="00B14105"/>
    <w:rsid w:val="00B14191"/>
    <w:rsid w:val="00B14E3E"/>
    <w:rsid w:val="00B202D6"/>
    <w:rsid w:val="00B2208E"/>
    <w:rsid w:val="00B22361"/>
    <w:rsid w:val="00B250FA"/>
    <w:rsid w:val="00B26049"/>
    <w:rsid w:val="00B2625F"/>
    <w:rsid w:val="00B26CE9"/>
    <w:rsid w:val="00B32018"/>
    <w:rsid w:val="00B34EA2"/>
    <w:rsid w:val="00B37406"/>
    <w:rsid w:val="00B44AE2"/>
    <w:rsid w:val="00B47867"/>
    <w:rsid w:val="00B511BA"/>
    <w:rsid w:val="00B54745"/>
    <w:rsid w:val="00B5480B"/>
    <w:rsid w:val="00B60055"/>
    <w:rsid w:val="00B600B8"/>
    <w:rsid w:val="00B7487E"/>
    <w:rsid w:val="00B766CA"/>
    <w:rsid w:val="00B77529"/>
    <w:rsid w:val="00B81DD8"/>
    <w:rsid w:val="00B83151"/>
    <w:rsid w:val="00B84E79"/>
    <w:rsid w:val="00B87565"/>
    <w:rsid w:val="00B9240D"/>
    <w:rsid w:val="00B93C5D"/>
    <w:rsid w:val="00B94547"/>
    <w:rsid w:val="00B94659"/>
    <w:rsid w:val="00B966B1"/>
    <w:rsid w:val="00B97644"/>
    <w:rsid w:val="00BA0FB2"/>
    <w:rsid w:val="00BA26CE"/>
    <w:rsid w:val="00BB102A"/>
    <w:rsid w:val="00BC3B78"/>
    <w:rsid w:val="00BC583E"/>
    <w:rsid w:val="00BD260D"/>
    <w:rsid w:val="00BD2AE0"/>
    <w:rsid w:val="00BD36A2"/>
    <w:rsid w:val="00BD62BF"/>
    <w:rsid w:val="00BD75D8"/>
    <w:rsid w:val="00BF2A9F"/>
    <w:rsid w:val="00BF5ED1"/>
    <w:rsid w:val="00BF6ACB"/>
    <w:rsid w:val="00BF6D82"/>
    <w:rsid w:val="00C00531"/>
    <w:rsid w:val="00C10F7C"/>
    <w:rsid w:val="00C119FE"/>
    <w:rsid w:val="00C23132"/>
    <w:rsid w:val="00C25CC8"/>
    <w:rsid w:val="00C3049C"/>
    <w:rsid w:val="00C30F8A"/>
    <w:rsid w:val="00C35F76"/>
    <w:rsid w:val="00C3675F"/>
    <w:rsid w:val="00C45867"/>
    <w:rsid w:val="00C46AC8"/>
    <w:rsid w:val="00C50A36"/>
    <w:rsid w:val="00C51C8F"/>
    <w:rsid w:val="00C5323C"/>
    <w:rsid w:val="00C6187E"/>
    <w:rsid w:val="00C62D3D"/>
    <w:rsid w:val="00C63AD7"/>
    <w:rsid w:val="00C65C77"/>
    <w:rsid w:val="00C708CF"/>
    <w:rsid w:val="00C72533"/>
    <w:rsid w:val="00C73E92"/>
    <w:rsid w:val="00C76E14"/>
    <w:rsid w:val="00C810FD"/>
    <w:rsid w:val="00C83684"/>
    <w:rsid w:val="00C86FFB"/>
    <w:rsid w:val="00C94B8D"/>
    <w:rsid w:val="00CA1541"/>
    <w:rsid w:val="00CA21EE"/>
    <w:rsid w:val="00CA25EE"/>
    <w:rsid w:val="00CA66B4"/>
    <w:rsid w:val="00CA6FA2"/>
    <w:rsid w:val="00CB38FF"/>
    <w:rsid w:val="00CC454B"/>
    <w:rsid w:val="00CD2495"/>
    <w:rsid w:val="00CD482A"/>
    <w:rsid w:val="00CE4740"/>
    <w:rsid w:val="00CE5F9F"/>
    <w:rsid w:val="00CF3990"/>
    <w:rsid w:val="00D006FA"/>
    <w:rsid w:val="00D01DA3"/>
    <w:rsid w:val="00D04B60"/>
    <w:rsid w:val="00D11B44"/>
    <w:rsid w:val="00D15FDF"/>
    <w:rsid w:val="00D22AF3"/>
    <w:rsid w:val="00D31561"/>
    <w:rsid w:val="00D4182D"/>
    <w:rsid w:val="00D42BA5"/>
    <w:rsid w:val="00D47372"/>
    <w:rsid w:val="00D51829"/>
    <w:rsid w:val="00D51F4E"/>
    <w:rsid w:val="00D52BED"/>
    <w:rsid w:val="00D53320"/>
    <w:rsid w:val="00D57EB1"/>
    <w:rsid w:val="00D61150"/>
    <w:rsid w:val="00D645B4"/>
    <w:rsid w:val="00D676A3"/>
    <w:rsid w:val="00D82C70"/>
    <w:rsid w:val="00D849E4"/>
    <w:rsid w:val="00D853F9"/>
    <w:rsid w:val="00D87A32"/>
    <w:rsid w:val="00D900E5"/>
    <w:rsid w:val="00D90945"/>
    <w:rsid w:val="00D917A5"/>
    <w:rsid w:val="00DA0C18"/>
    <w:rsid w:val="00DA3507"/>
    <w:rsid w:val="00DB0327"/>
    <w:rsid w:val="00DB0C10"/>
    <w:rsid w:val="00DB2F5E"/>
    <w:rsid w:val="00DD2C53"/>
    <w:rsid w:val="00DD3403"/>
    <w:rsid w:val="00DD59BC"/>
    <w:rsid w:val="00DE160B"/>
    <w:rsid w:val="00DE3F5D"/>
    <w:rsid w:val="00DF19FF"/>
    <w:rsid w:val="00DF72DF"/>
    <w:rsid w:val="00DF7425"/>
    <w:rsid w:val="00E07538"/>
    <w:rsid w:val="00E16217"/>
    <w:rsid w:val="00E34DEA"/>
    <w:rsid w:val="00E371DE"/>
    <w:rsid w:val="00E4031E"/>
    <w:rsid w:val="00E43237"/>
    <w:rsid w:val="00E461C4"/>
    <w:rsid w:val="00E46E8D"/>
    <w:rsid w:val="00E5279B"/>
    <w:rsid w:val="00E64E55"/>
    <w:rsid w:val="00E65978"/>
    <w:rsid w:val="00E71614"/>
    <w:rsid w:val="00E72123"/>
    <w:rsid w:val="00E73493"/>
    <w:rsid w:val="00E82194"/>
    <w:rsid w:val="00E915AE"/>
    <w:rsid w:val="00EA062A"/>
    <w:rsid w:val="00EA4F7D"/>
    <w:rsid w:val="00EB0ADD"/>
    <w:rsid w:val="00EB0BD6"/>
    <w:rsid w:val="00EB2BE1"/>
    <w:rsid w:val="00EB37B0"/>
    <w:rsid w:val="00EB56A0"/>
    <w:rsid w:val="00EB71C1"/>
    <w:rsid w:val="00EC5724"/>
    <w:rsid w:val="00EC5808"/>
    <w:rsid w:val="00ED57FF"/>
    <w:rsid w:val="00EE1FB2"/>
    <w:rsid w:val="00EE5204"/>
    <w:rsid w:val="00EE6FCF"/>
    <w:rsid w:val="00EE7B1E"/>
    <w:rsid w:val="00EF27B3"/>
    <w:rsid w:val="00F022EF"/>
    <w:rsid w:val="00F047AA"/>
    <w:rsid w:val="00F10DCA"/>
    <w:rsid w:val="00F10EB8"/>
    <w:rsid w:val="00F110D1"/>
    <w:rsid w:val="00F14A57"/>
    <w:rsid w:val="00F14B91"/>
    <w:rsid w:val="00F163F9"/>
    <w:rsid w:val="00F21080"/>
    <w:rsid w:val="00F2443A"/>
    <w:rsid w:val="00F253D3"/>
    <w:rsid w:val="00F25D14"/>
    <w:rsid w:val="00F26900"/>
    <w:rsid w:val="00F427CA"/>
    <w:rsid w:val="00F46B84"/>
    <w:rsid w:val="00F5283D"/>
    <w:rsid w:val="00F559AA"/>
    <w:rsid w:val="00F6085F"/>
    <w:rsid w:val="00F70B1B"/>
    <w:rsid w:val="00F73679"/>
    <w:rsid w:val="00F90BE6"/>
    <w:rsid w:val="00FA6919"/>
    <w:rsid w:val="00FB1AEA"/>
    <w:rsid w:val="00FB3E11"/>
    <w:rsid w:val="00FB47A0"/>
    <w:rsid w:val="00FB50E0"/>
    <w:rsid w:val="00FB56D0"/>
    <w:rsid w:val="00FB5EB5"/>
    <w:rsid w:val="00FC19AC"/>
    <w:rsid w:val="00FC4005"/>
    <w:rsid w:val="00FD6600"/>
    <w:rsid w:val="00FE1BBA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rzn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6;&#1103;&#1079;&#1072;&#1085;&#1100;\&#1055;&#1086;&#1089;&#1090;&#1072;&#1085;_&#1064;&#1040;&#1041;&#1051;&#1054;&#10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B772-F526-4464-81E3-901CC52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Постан_ШАБЛОН.dotx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Алексеевич Федосеев</dc:creator>
  <cp:lastModifiedBy>Игорь Алексеевич Федосеев</cp:lastModifiedBy>
  <cp:revision>3</cp:revision>
  <cp:lastPrinted>2024-11-11T11:55:00Z</cp:lastPrinted>
  <dcterms:created xsi:type="dcterms:W3CDTF">2025-04-29T10:49:00Z</dcterms:created>
  <dcterms:modified xsi:type="dcterms:W3CDTF">2025-04-29T10:55:00Z</dcterms:modified>
</cp:coreProperties>
</file>